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bidi w:val="0"/>
        <w:adjustRightInd/>
        <w:snapToGrid/>
        <w:spacing w:before="0" w:beforeLines="0" w:beforeAutospacing="0" w:after="0" w:afterLines="0" w:afterAutospacing="0" w:line="240" w:lineRule="auto"/>
        <w:ind w:left="420" w:leftChars="0" w:right="0" w:rightChars="0"/>
        <w:textAlignment w:val="auto"/>
        <w:rPr>
          <w:rFonts w:hint="eastAsia" w:ascii="仿宋_GB2312" w:hAnsi="仿宋_GB2312" w:eastAsia="仿宋_GB2312" w:cs="仿宋_GB2312"/>
          <w:b w:val="0"/>
          <w:kern w:val="2"/>
          <w:sz w:val="30"/>
          <w:szCs w:val="30"/>
          <w:lang w:val="en-US" w:eastAsia="zh-CN" w:bidi="ar-SA"/>
        </w:rPr>
      </w:pPr>
      <w:bookmarkStart w:id="0" w:name="_Toc7062"/>
      <w:bookmarkStart w:id="1" w:name="_Toc3450"/>
      <w:bookmarkStart w:id="2" w:name="_Toc18916"/>
      <w:bookmarkStart w:id="3" w:name="_Toc5122"/>
      <w:r>
        <w:rPr>
          <w:rFonts w:hint="eastAsia" w:ascii="仿宋_GB2312" w:hAnsi="仿宋_GB2312" w:eastAsia="仿宋_GB2312" w:cs="仿宋_GB2312"/>
          <w:b w:val="0"/>
          <w:kern w:val="2"/>
          <w:sz w:val="30"/>
          <w:szCs w:val="30"/>
          <w:lang w:val="en-US" w:eastAsia="zh-CN" w:bidi="ar-SA"/>
        </w:rPr>
        <w:t>附件2：</w:t>
      </w:r>
    </w:p>
    <w:p>
      <w:pPr>
        <w:rPr>
          <w:rFonts w:hint="default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bidi w:val="0"/>
        <w:adjustRightInd/>
        <w:snapToGrid/>
        <w:spacing w:before="0" w:beforeLines="0" w:beforeAutospacing="0" w:after="0" w:afterLines="0" w:afterAutospacing="0" w:line="240" w:lineRule="auto"/>
        <w:ind w:left="420" w:leftChars="0" w:right="0" w:rightChars="0"/>
        <w:jc w:val="center"/>
        <w:textAlignment w:val="auto"/>
        <w:rPr>
          <w:rFonts w:hint="eastAsia" w:ascii="方正黑体简体" w:eastAsia="方正黑体简体"/>
          <w:b w:val="0"/>
          <w:color w:val="000000"/>
          <w:sz w:val="36"/>
          <w:szCs w:val="36"/>
          <w:highlight w:val="none"/>
          <w:lang w:eastAsia="zh-CN"/>
        </w:rPr>
      </w:pPr>
      <w:r>
        <w:rPr>
          <w:rFonts w:hint="eastAsia" w:ascii="方正黑体简体" w:eastAsia="方正黑体简体"/>
          <w:b w:val="0"/>
          <w:color w:val="000000"/>
          <w:sz w:val="36"/>
          <w:szCs w:val="36"/>
          <w:highlight w:val="none"/>
          <w:lang w:eastAsia="zh-CN"/>
        </w:rPr>
        <w:t>风险提示词条</w:t>
      </w:r>
      <w:bookmarkEnd w:id="0"/>
      <w:bookmarkEnd w:id="1"/>
      <w:bookmarkEnd w:id="2"/>
      <w:bookmarkEnd w:id="3"/>
      <w:bookmarkStart w:id="4" w:name="_GoBack"/>
      <w:bookmarkEnd w:id="4"/>
    </w:p>
    <w:p>
      <w:pPr>
        <w:widowControl w:val="0"/>
        <w:numPr>
          <w:ilvl w:val="0"/>
          <w:numId w:val="1"/>
        </w:numPr>
        <w:wordWrap/>
        <w:snapToGrid/>
        <w:spacing w:before="0" w:beforeLines="0" w:beforeAutospacing="0" w:after="0" w:afterLines="0" w:afterAutospacing="0" w:line="620" w:lineRule="exact"/>
        <w:ind w:left="0" w:leftChars="0" w:right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辨真伪·识风险  做理性私募投资者。</w:t>
      </w:r>
    </w:p>
    <w:p>
      <w:pPr>
        <w:widowControl w:val="0"/>
        <w:numPr>
          <w:ilvl w:val="0"/>
          <w:numId w:val="1"/>
        </w:numPr>
        <w:wordWrap/>
        <w:snapToGrid/>
        <w:spacing w:before="0" w:beforeLines="0" w:beforeAutospacing="0" w:after="0" w:afterLines="0" w:afterAutospacing="0" w:line="240" w:lineRule="auto"/>
        <w:ind w:left="0" w:leftChars="0" w:right="0" w:firstLine="60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/>
        </w:rPr>
        <w:t>私募基金登记备案不是行政审批，不构成对私募基金管理人投资能力、持续合规情况的认可，不作为对基金财产安全的保证。</w:t>
      </w:r>
    </w:p>
    <w:p>
      <w:pPr>
        <w:widowControl w:val="0"/>
        <w:numPr>
          <w:ilvl w:val="0"/>
          <w:numId w:val="1"/>
        </w:numPr>
        <w:wordWrap/>
        <w:snapToGrid/>
        <w:spacing w:before="0" w:beforeLines="0" w:beforeAutospacing="0" w:after="0" w:afterLines="0" w:afterAutospacing="0" w:line="240" w:lineRule="auto"/>
        <w:ind w:left="0" w:leftChars="0" w:right="0" w:firstLine="60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/>
        </w:rPr>
        <w:t>切莫被“私募备案”忽悠，警惕“伪私募”挖坑，避免非法集资陷阱。</w:t>
      </w:r>
    </w:p>
    <w:p>
      <w:pPr>
        <w:widowControl w:val="0"/>
        <w:numPr>
          <w:ilvl w:val="0"/>
          <w:numId w:val="1"/>
        </w:numPr>
        <w:wordWrap/>
        <w:snapToGrid/>
        <w:spacing w:before="0" w:beforeLines="0" w:beforeAutospacing="0" w:after="0" w:afterLines="0" w:afterAutospacing="0" w:line="240" w:lineRule="auto"/>
        <w:ind w:left="0" w:leftChars="0" w:right="0" w:firstLine="60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/>
        </w:rPr>
        <w:t>私募投资要淡定，多一分怀疑，少一分侥幸。</w:t>
      </w:r>
    </w:p>
    <w:p>
      <w:pPr>
        <w:widowControl w:val="0"/>
        <w:numPr>
          <w:ilvl w:val="0"/>
          <w:numId w:val="1"/>
        </w:numPr>
        <w:wordWrap/>
        <w:snapToGrid/>
        <w:spacing w:before="0" w:beforeLines="0" w:beforeAutospacing="0" w:after="0" w:afterLines="0" w:afterAutospacing="0" w:line="240" w:lineRule="auto"/>
        <w:ind w:left="0" w:leftChars="0" w:right="0" w:firstLine="60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/>
        </w:rPr>
        <w:t>你看中的是别人的收益，别人惦记的却是你的本金。</w:t>
      </w:r>
    </w:p>
    <w:p>
      <w:pPr>
        <w:widowControl w:val="0"/>
        <w:numPr>
          <w:ilvl w:val="0"/>
          <w:numId w:val="1"/>
        </w:numPr>
        <w:wordWrap/>
        <w:snapToGrid/>
        <w:spacing w:before="0" w:beforeLines="0" w:beforeAutospacing="0" w:after="0" w:afterLines="0" w:afterAutospacing="0" w:line="240" w:lineRule="auto"/>
        <w:ind w:left="0" w:leftChars="0" w:right="0" w:firstLine="60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/>
        </w:rPr>
        <w:t>私募投资重匹配，了解你自己，了解你的产品：知道买的是谁的产品，与谁签约，资金划到何处，具体投向何方。</w:t>
      </w:r>
    </w:p>
    <w:p>
      <w:pPr>
        <w:widowControl w:val="0"/>
        <w:numPr>
          <w:ilvl w:val="0"/>
          <w:numId w:val="1"/>
        </w:numPr>
        <w:wordWrap/>
        <w:autoSpaceDE w:val="0"/>
        <w:autoSpaceDN w:val="0"/>
        <w:snapToGrid/>
        <w:spacing w:before="0" w:beforeLines="0" w:beforeAutospacing="0" w:after="0" w:afterLines="0" w:afterAutospacing="0" w:line="240" w:lineRule="auto"/>
        <w:ind w:left="0" w:leftChars="0" w:right="0" w:firstLine="60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/>
        </w:rPr>
        <w:t>私募基金不是法外之地，不能任性妄为，必须严守行业规范，只能面向合格投资者募集资金；不得公开推介、宣传、打广告；不得承诺保本保收益。</w:t>
      </w:r>
    </w:p>
    <w:p>
      <w:pPr>
        <w:widowControl w:val="0"/>
        <w:numPr>
          <w:ilvl w:val="0"/>
          <w:numId w:val="1"/>
        </w:numPr>
        <w:wordWrap/>
        <w:snapToGrid/>
        <w:spacing w:before="0" w:beforeLines="0" w:beforeAutospacing="0" w:after="0" w:afterLines="0" w:afterAutospacing="0" w:line="240" w:lineRule="auto"/>
        <w:ind w:left="0" w:leftChars="0" w:right="0" w:firstLine="60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远离“伪私募”，守住“钱袋子”。</w:t>
      </w:r>
    </w:p>
    <w:p>
      <w:pPr>
        <w:widowControl w:val="0"/>
        <w:numPr>
          <w:ilvl w:val="0"/>
          <w:numId w:val="1"/>
        </w:numPr>
        <w:wordWrap/>
        <w:snapToGrid/>
        <w:spacing w:before="0" w:beforeLines="0" w:beforeAutospacing="0" w:after="0" w:afterLines="0" w:afterAutospacing="0" w:line="240" w:lineRule="auto"/>
        <w:ind w:left="0" w:leftChars="0" w:right="0" w:firstLine="60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正确认识私募，远离非法投资。</w:t>
      </w:r>
    </w:p>
    <w:p>
      <w:pPr>
        <w:widowControl w:val="0"/>
        <w:numPr>
          <w:ilvl w:val="0"/>
          <w:numId w:val="1"/>
        </w:numPr>
        <w:wordWrap/>
        <w:snapToGrid/>
        <w:spacing w:before="0" w:beforeLines="0" w:beforeAutospacing="0" w:after="0" w:afterLines="0" w:afterAutospacing="0" w:line="240" w:lineRule="auto"/>
        <w:ind w:left="0" w:leftChars="0" w:right="0" w:firstLine="60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私募基金承诺高收益，投资一定要警惕。</w:t>
      </w:r>
    </w:p>
    <w:p>
      <w:pPr>
        <w:widowControl w:val="0"/>
        <w:numPr>
          <w:ilvl w:val="0"/>
          <w:numId w:val="1"/>
        </w:numPr>
        <w:wordWrap/>
        <w:snapToGrid/>
        <w:spacing w:before="0" w:beforeLines="0" w:beforeAutospacing="0" w:after="0" w:afterLines="0" w:afterAutospacing="0" w:line="240" w:lineRule="auto"/>
        <w:ind w:left="0" w:leftChars="0" w:right="0" w:firstLine="60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讲学习，重识辨，远离非法私募。</w:t>
      </w:r>
    </w:p>
    <w:p>
      <w:pPr>
        <w:widowControl w:val="0"/>
        <w:numPr>
          <w:ilvl w:val="0"/>
          <w:numId w:val="1"/>
        </w:numPr>
        <w:wordWrap/>
        <w:snapToGrid/>
        <w:spacing w:before="0" w:beforeLines="0" w:beforeAutospacing="0" w:after="0" w:afterLines="0" w:afterAutospacing="0" w:line="240" w:lineRule="auto"/>
        <w:ind w:left="0" w:leftChars="0" w:right="0" w:firstLine="60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审慎评估风险，理性投资私募。</w:t>
      </w:r>
    </w:p>
    <w:p>
      <w:pPr>
        <w:widowControl w:val="0"/>
        <w:numPr>
          <w:ilvl w:val="0"/>
          <w:numId w:val="1"/>
        </w:numPr>
        <w:wordWrap/>
        <w:snapToGrid/>
        <w:spacing w:before="0" w:beforeLines="0" w:beforeAutospacing="0" w:after="0" w:afterLines="0" w:afterAutospacing="0" w:line="240" w:lineRule="auto"/>
        <w:ind w:left="0" w:leftChars="0" w:right="0" w:firstLine="60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投资私募，卖者有责，买者自负。</w:t>
      </w:r>
    </w:p>
    <w:p>
      <w:pPr>
        <w:widowControl w:val="0"/>
        <w:numPr>
          <w:ilvl w:val="0"/>
          <w:numId w:val="1"/>
        </w:numPr>
        <w:wordWrap/>
        <w:snapToGrid/>
        <w:spacing w:before="0" w:beforeLines="0" w:beforeAutospacing="0" w:after="0" w:afterLines="0" w:afterAutospacing="0" w:line="240" w:lineRule="auto"/>
        <w:ind w:left="0" w:leftChars="0" w:right="0" w:firstLine="60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投资私募要仔细阅读，签署风险揭示书。</w:t>
      </w:r>
    </w:p>
    <w:p>
      <w:pPr>
        <w:widowControl w:val="0"/>
        <w:numPr>
          <w:ilvl w:val="0"/>
          <w:numId w:val="1"/>
        </w:numPr>
        <w:wordWrap/>
        <w:snapToGrid/>
        <w:spacing w:before="0" w:beforeLines="0" w:beforeAutospacing="0" w:after="0" w:afterLines="0" w:afterAutospacing="0" w:line="240" w:lineRule="auto"/>
        <w:ind w:left="0" w:leftChars="0" w:right="0" w:firstLine="60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投资者投资私募基金至少100万元。</w:t>
      </w:r>
    </w:p>
    <w:p>
      <w:pPr>
        <w:widowControl w:val="0"/>
        <w:numPr>
          <w:ilvl w:val="0"/>
          <w:numId w:val="1"/>
        </w:numPr>
        <w:wordWrap/>
        <w:snapToGrid/>
        <w:spacing w:before="0" w:beforeLines="0" w:beforeAutospacing="0" w:after="0" w:afterLines="0" w:afterAutospacing="0" w:line="240" w:lineRule="auto"/>
        <w:ind w:left="0" w:leftChars="0" w:right="0" w:firstLine="60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仔细阅读私募合同，维护自身投资权益。</w:t>
      </w:r>
    </w:p>
    <w:p>
      <w:pPr>
        <w:widowControl w:val="0"/>
        <w:numPr>
          <w:ilvl w:val="0"/>
          <w:numId w:val="1"/>
        </w:numPr>
        <w:wordWrap/>
        <w:snapToGrid/>
        <w:spacing w:before="0" w:beforeLines="0" w:beforeAutospacing="0" w:after="0" w:afterLines="0" w:afterAutospacing="0" w:line="240" w:lineRule="auto"/>
        <w:ind w:left="0" w:leftChars="0" w:right="0" w:firstLine="60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私募募集必须识别投资者风险收益属性。</w:t>
      </w:r>
    </w:p>
    <w:p>
      <w:pPr>
        <w:widowControl w:val="0"/>
        <w:numPr>
          <w:ilvl w:val="0"/>
          <w:numId w:val="1"/>
        </w:numPr>
        <w:wordWrap/>
        <w:snapToGrid/>
        <w:spacing w:before="0" w:beforeLines="0" w:beforeAutospacing="0" w:after="0" w:afterLines="0" w:afterAutospacing="0" w:line="240" w:lineRule="auto"/>
        <w:ind w:left="0" w:leftChars="0" w:right="0" w:firstLine="60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私募募集必须履行说明义务和合理注意义务。</w:t>
      </w:r>
    </w:p>
    <w:p>
      <w:pPr>
        <w:widowControl w:val="0"/>
        <w:numPr>
          <w:ilvl w:val="0"/>
          <w:numId w:val="1"/>
        </w:numPr>
        <w:wordWrap/>
        <w:snapToGrid/>
        <w:spacing w:before="0" w:beforeLines="0" w:beforeAutospacing="0" w:after="0" w:afterLines="0" w:afterAutospacing="0" w:line="240" w:lineRule="auto"/>
        <w:ind w:left="0" w:leftChars="0" w:right="0" w:firstLine="60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私募基金不得公开推介。购买时请查询登记信息（www.amac.org.cn），细看合同条款，警惕保本保收益陷阱，防范投资风险。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1D4518"/>
    <w:rsid w:val="560E5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uiPriority w:val="0"/>
    <w:pPr>
      <w:outlineLvl w:val="0"/>
    </w:pPr>
    <w:rPr>
      <w:rFonts w:ascii="黑体" w:hAnsi="黑体" w:eastAsia="黑体"/>
      <w:b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周凯</dc:creator>
  <cp:lastModifiedBy>钱燕琴</cp:lastModifiedBy>
  <dcterms:modified xsi:type="dcterms:W3CDTF">2019-09-09T02:05:33Z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